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4F783" w14:textId="77777777" w:rsidR="000C793C" w:rsidRDefault="000C793C" w:rsidP="000C793C">
      <w:pPr>
        <w:pStyle w:val="Kopfzeile"/>
        <w:tabs>
          <w:tab w:val="clear" w:pos="4536"/>
          <w:tab w:val="clear" w:pos="9072"/>
          <w:tab w:val="left" w:pos="3155"/>
        </w:tabs>
      </w:pPr>
      <w:r>
        <w:rPr>
          <w:noProof/>
        </w:rPr>
        <w:drawing>
          <wp:anchor distT="0" distB="0" distL="114300" distR="114300" simplePos="0" relativeHeight="251661312" behindDoc="1" locked="0" layoutInCell="1" allowOverlap="1" wp14:anchorId="42CB293C" wp14:editId="06F9B047">
            <wp:simplePos x="0" y="0"/>
            <wp:positionH relativeFrom="page">
              <wp:align>right</wp:align>
            </wp:positionH>
            <wp:positionV relativeFrom="page">
              <wp:align>top</wp:align>
            </wp:positionV>
            <wp:extent cx="7557353" cy="10689999"/>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NL Den Bosch extended dra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7353" cy="10689999"/>
                    </a:xfrm>
                    <a:prstGeom prst="rect">
                      <a:avLst/>
                    </a:prstGeom>
                  </pic:spPr>
                </pic:pic>
              </a:graphicData>
            </a:graphic>
            <wp14:sizeRelH relativeFrom="margin">
              <wp14:pctWidth>0</wp14:pctWidth>
            </wp14:sizeRelH>
            <wp14:sizeRelV relativeFrom="margin">
              <wp14:pctHeight>0</wp14:pctHeight>
            </wp14:sizeRelV>
          </wp:anchor>
        </w:drawing>
      </w:r>
      <w:r>
        <w:tab/>
      </w:r>
    </w:p>
    <w:p w14:paraId="0F982ECA" w14:textId="77777777" w:rsidR="000C793C" w:rsidRDefault="000C793C" w:rsidP="000C793C">
      <w:pPr>
        <w:pStyle w:val="Kopfzeile"/>
        <w:tabs>
          <w:tab w:val="clear" w:pos="4536"/>
          <w:tab w:val="clear" w:pos="9072"/>
          <w:tab w:val="left" w:pos="5929"/>
        </w:tabs>
        <w:ind w:firstLine="708"/>
      </w:pPr>
      <w:r>
        <w:tab/>
      </w:r>
    </w:p>
    <w:p w14:paraId="5C47B8D3" w14:textId="77777777" w:rsidR="000C793C" w:rsidRDefault="000C793C" w:rsidP="000C793C">
      <w:pPr>
        <w:pStyle w:val="Kopfzeile"/>
        <w:jc w:val="center"/>
      </w:pPr>
    </w:p>
    <w:p w14:paraId="31FE0A66" w14:textId="77777777" w:rsidR="000C793C" w:rsidRDefault="000C793C" w:rsidP="000C793C">
      <w:pPr>
        <w:pStyle w:val="Kopfzeile"/>
        <w:tabs>
          <w:tab w:val="clear" w:pos="4536"/>
          <w:tab w:val="clear" w:pos="9072"/>
          <w:tab w:val="left" w:pos="2012"/>
        </w:tabs>
      </w:pPr>
    </w:p>
    <w:p w14:paraId="0CBC348E" w14:textId="369CA1F5" w:rsidR="000C793C" w:rsidRPr="000C793C" w:rsidRDefault="000C793C" w:rsidP="000C793C">
      <w:pPr>
        <w:pStyle w:val="Kopfzeile"/>
        <w:tabs>
          <w:tab w:val="clear" w:pos="4536"/>
          <w:tab w:val="clear" w:pos="9072"/>
          <w:tab w:val="left" w:pos="2012"/>
        </w:tabs>
        <w:rPr>
          <w:b/>
          <w:bCs/>
          <w:sz w:val="28"/>
          <w:szCs w:val="28"/>
        </w:rPr>
      </w:pPr>
      <w:r>
        <w:tab/>
      </w:r>
      <w:r w:rsidRPr="000C793C">
        <w:rPr>
          <w:b/>
          <w:bCs/>
          <w:noProof/>
          <w:sz w:val="28"/>
          <w:szCs w:val="28"/>
        </w:rPr>
        <w:drawing>
          <wp:anchor distT="0" distB="0" distL="114300" distR="114300" simplePos="0" relativeHeight="251659264" behindDoc="1" locked="0" layoutInCell="1" allowOverlap="1" wp14:anchorId="16C28C9C" wp14:editId="4098E85B">
            <wp:simplePos x="0" y="0"/>
            <wp:positionH relativeFrom="page">
              <wp:align>right</wp:align>
            </wp:positionH>
            <wp:positionV relativeFrom="page">
              <wp:align>top</wp:align>
            </wp:positionV>
            <wp:extent cx="7557353" cy="10689999"/>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NL Den Bosch extended dra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7353" cy="10689999"/>
                    </a:xfrm>
                    <a:prstGeom prst="rect">
                      <a:avLst/>
                    </a:prstGeom>
                  </pic:spPr>
                </pic:pic>
              </a:graphicData>
            </a:graphic>
            <wp14:sizeRelH relativeFrom="margin">
              <wp14:pctWidth>0</wp14:pctWidth>
            </wp14:sizeRelH>
            <wp14:sizeRelV relativeFrom="margin">
              <wp14:pctHeight>0</wp14:pctHeight>
            </wp14:sizeRelV>
          </wp:anchor>
        </w:drawing>
      </w:r>
      <w:r w:rsidRPr="000C793C">
        <w:rPr>
          <w:b/>
          <w:bCs/>
          <w:noProof/>
          <w:sz w:val="28"/>
          <w:szCs w:val="28"/>
        </w:rPr>
        <w:t>Meldeverfahren</w:t>
      </w:r>
      <w:r w:rsidRPr="000C793C">
        <w:rPr>
          <w:b/>
          <w:bCs/>
          <w:sz w:val="28"/>
          <w:szCs w:val="28"/>
        </w:rPr>
        <w:t xml:space="preserve"> bei Gustav Berning &amp; Co. KG</w:t>
      </w:r>
    </w:p>
    <w:p w14:paraId="38DA7461" w14:textId="2FAF7CBD" w:rsidR="000C793C" w:rsidRDefault="000C793C" w:rsidP="000C793C">
      <w:pPr>
        <w:pStyle w:val="Kopfzeile"/>
        <w:tabs>
          <w:tab w:val="clear" w:pos="4536"/>
          <w:tab w:val="clear" w:pos="9072"/>
          <w:tab w:val="left" w:pos="3155"/>
        </w:tabs>
        <w:jc w:val="center"/>
        <w:rPr>
          <w:b/>
          <w:bCs/>
          <w:sz w:val="24"/>
          <w:szCs w:val="24"/>
        </w:rPr>
      </w:pPr>
    </w:p>
    <w:p w14:paraId="17564AAB" w14:textId="36C35F28" w:rsidR="000C793C" w:rsidRPr="00EA2BF9" w:rsidRDefault="000C793C" w:rsidP="00EC3394">
      <w:pPr>
        <w:pStyle w:val="Default"/>
        <w:jc w:val="both"/>
        <w:rPr>
          <w:rFonts w:asciiTheme="minorHAnsi" w:hAnsiTheme="minorHAnsi" w:cstheme="minorHAnsi"/>
          <w:color w:val="132C45"/>
          <w:sz w:val="22"/>
          <w:szCs w:val="22"/>
        </w:rPr>
      </w:pPr>
      <w:r w:rsidRPr="00EA2BF9">
        <w:rPr>
          <w:rFonts w:asciiTheme="minorHAnsi" w:hAnsiTheme="minorHAnsi" w:cstheme="minorHAnsi"/>
          <w:color w:val="132C45"/>
          <w:sz w:val="22"/>
          <w:szCs w:val="22"/>
        </w:rPr>
        <w:t>Die Ethik-Politik der Gustav Berning GmbH &amp; Co. KG sowie der Verhaltenskodex legen die Verhaltensstandards fest, die von allen Geschäftspartnern der Prinsen Berning Gruppe erwartet werden.</w:t>
      </w:r>
    </w:p>
    <w:p w14:paraId="647B4315" w14:textId="78E489E2" w:rsidR="000C793C" w:rsidRPr="00EA2BF9" w:rsidRDefault="000C793C" w:rsidP="00EC3394">
      <w:pPr>
        <w:pStyle w:val="Default"/>
        <w:jc w:val="both"/>
        <w:rPr>
          <w:rFonts w:asciiTheme="minorHAnsi" w:hAnsiTheme="minorHAnsi" w:cstheme="minorHAnsi"/>
          <w:color w:val="132C45"/>
          <w:sz w:val="22"/>
          <w:szCs w:val="22"/>
        </w:rPr>
      </w:pPr>
      <w:r w:rsidRPr="00EA2BF9">
        <w:rPr>
          <w:rFonts w:asciiTheme="minorHAnsi" w:hAnsiTheme="minorHAnsi" w:cstheme="minorHAnsi"/>
          <w:color w:val="132C45"/>
          <w:sz w:val="22"/>
          <w:szCs w:val="22"/>
        </w:rPr>
        <w:t xml:space="preserve">Um eine wirksame Umsetzung der Standards zu gewährleisten, erwarten wir, dass jeder, der von einem Verstoß Kenntnis erlangt, diesen unverzüglich im Rahmen dieses Meldeverfahrens meldet. </w:t>
      </w:r>
    </w:p>
    <w:p w14:paraId="39726845" w14:textId="77777777" w:rsidR="000C793C" w:rsidRPr="00EA2BF9" w:rsidRDefault="000C793C" w:rsidP="00EC3394">
      <w:pPr>
        <w:pStyle w:val="Default"/>
        <w:jc w:val="both"/>
        <w:rPr>
          <w:rFonts w:asciiTheme="minorHAnsi" w:hAnsiTheme="minorHAnsi" w:cstheme="minorHAnsi"/>
          <w:color w:val="132C45"/>
          <w:sz w:val="22"/>
          <w:szCs w:val="22"/>
        </w:rPr>
      </w:pPr>
      <w:r w:rsidRPr="00EA2BF9">
        <w:rPr>
          <w:rFonts w:asciiTheme="minorHAnsi" w:hAnsiTheme="minorHAnsi" w:cstheme="minorHAnsi"/>
          <w:color w:val="132C45"/>
          <w:sz w:val="22"/>
          <w:szCs w:val="22"/>
        </w:rPr>
        <w:t>Ziel des Meldeverfahrens ist es, zum einen den bestmöglichen Schutz für den / die Hinweisgeber zu gewährleisten sowie eine Aufklärung der gemeldeten Sachlage sicherzustellen.</w:t>
      </w:r>
    </w:p>
    <w:p w14:paraId="67C968F9" w14:textId="3EFE3635" w:rsidR="000C793C" w:rsidRPr="00EA2BF9" w:rsidRDefault="000C793C" w:rsidP="00EC3394">
      <w:pPr>
        <w:pStyle w:val="Default"/>
        <w:jc w:val="both"/>
        <w:rPr>
          <w:rFonts w:asciiTheme="minorHAnsi" w:hAnsiTheme="minorHAnsi" w:cstheme="minorHAnsi"/>
          <w:color w:val="132C45"/>
          <w:sz w:val="22"/>
          <w:szCs w:val="22"/>
        </w:rPr>
      </w:pPr>
      <w:r w:rsidRPr="00EA2BF9">
        <w:rPr>
          <w:rFonts w:asciiTheme="minorHAnsi" w:hAnsiTheme="minorHAnsi" w:cstheme="minorHAnsi"/>
          <w:color w:val="132C45"/>
          <w:sz w:val="22"/>
          <w:szCs w:val="22"/>
        </w:rPr>
        <w:t xml:space="preserve"> </w:t>
      </w:r>
    </w:p>
    <w:p w14:paraId="7F9FEF47" w14:textId="77777777" w:rsidR="000C793C" w:rsidRPr="00EA2BF9" w:rsidRDefault="000C793C" w:rsidP="00EC3394">
      <w:pPr>
        <w:spacing w:after="0" w:line="240" w:lineRule="auto"/>
        <w:jc w:val="both"/>
        <w:rPr>
          <w:color w:val="8EAADB" w:themeColor="accent1" w:themeTint="99"/>
          <w:lang w:val="en-US"/>
        </w:rPr>
      </w:pPr>
      <w:r w:rsidRPr="00EA2BF9">
        <w:rPr>
          <w:color w:val="8EAADB" w:themeColor="accent1" w:themeTint="99"/>
          <w:lang w:val="en-US"/>
        </w:rPr>
        <w:t>The Ethics Policy of Gustav Berning GmbH &amp; Co. KG and the Code of Conduct set out the standards of behavior expected of all business partners of the Prinsen Berning Group.</w:t>
      </w:r>
    </w:p>
    <w:p w14:paraId="35AB6743" w14:textId="77777777" w:rsidR="000C793C" w:rsidRPr="00EA2BF9" w:rsidRDefault="000C793C" w:rsidP="00EC3394">
      <w:pPr>
        <w:spacing w:after="0" w:line="240" w:lineRule="auto"/>
        <w:jc w:val="both"/>
        <w:rPr>
          <w:color w:val="8EAADB" w:themeColor="accent1" w:themeTint="99"/>
          <w:lang w:val="en-US"/>
        </w:rPr>
      </w:pPr>
      <w:r w:rsidRPr="00EA2BF9">
        <w:rPr>
          <w:color w:val="8EAADB" w:themeColor="accent1" w:themeTint="99"/>
          <w:lang w:val="en-US"/>
        </w:rPr>
        <w:t xml:space="preserve">To ensure effective implementation of the standards, we expect anyone who becomes aware of a violation to report it immediately under this reporting procedure. </w:t>
      </w:r>
    </w:p>
    <w:p w14:paraId="0BA5418C" w14:textId="77777777" w:rsidR="000C793C" w:rsidRPr="00EA2BF9" w:rsidRDefault="000C793C" w:rsidP="00EC3394">
      <w:pPr>
        <w:spacing w:after="0" w:line="240" w:lineRule="auto"/>
        <w:jc w:val="both"/>
        <w:rPr>
          <w:color w:val="8EAADB" w:themeColor="accent1" w:themeTint="99"/>
          <w:lang w:val="en-US"/>
        </w:rPr>
      </w:pPr>
      <w:r w:rsidRPr="00EA2BF9">
        <w:rPr>
          <w:color w:val="8EAADB" w:themeColor="accent1" w:themeTint="99"/>
          <w:lang w:val="en-US"/>
        </w:rPr>
        <w:t xml:space="preserve">The aim of the reporting procedure is to ensure the best possible protection for the whistleblower(s) and to ensure that the reported facts are clarified. </w:t>
      </w:r>
    </w:p>
    <w:p w14:paraId="5DD040EB" w14:textId="77777777" w:rsidR="000C793C" w:rsidRPr="00EA2BF9" w:rsidRDefault="000C793C" w:rsidP="00EC3394">
      <w:pPr>
        <w:pStyle w:val="Default"/>
        <w:jc w:val="both"/>
        <w:rPr>
          <w:rFonts w:asciiTheme="minorHAnsi" w:hAnsiTheme="minorHAnsi" w:cstheme="minorHAnsi"/>
          <w:color w:val="132C45"/>
          <w:sz w:val="22"/>
          <w:szCs w:val="22"/>
          <w:lang w:val="en-US"/>
        </w:rPr>
      </w:pPr>
    </w:p>
    <w:p w14:paraId="39383416" w14:textId="77777777" w:rsidR="000C793C" w:rsidRPr="00EA2BF9" w:rsidRDefault="000C793C" w:rsidP="00EC3394">
      <w:pPr>
        <w:pStyle w:val="Default"/>
        <w:jc w:val="both"/>
        <w:rPr>
          <w:rFonts w:asciiTheme="minorHAnsi" w:hAnsiTheme="minorHAnsi" w:cstheme="minorHAnsi"/>
          <w:color w:val="132C45"/>
          <w:sz w:val="22"/>
          <w:szCs w:val="22"/>
        </w:rPr>
      </w:pPr>
      <w:r w:rsidRPr="00EA2BF9">
        <w:rPr>
          <w:rFonts w:asciiTheme="minorHAnsi" w:hAnsiTheme="minorHAnsi" w:cstheme="minorHAnsi"/>
          <w:color w:val="132C45"/>
          <w:sz w:val="22"/>
          <w:szCs w:val="22"/>
        </w:rPr>
        <w:t>Dieses Verfahren findet im Falle einer Meldung über vermutete oder tatsächliche Fehlverhaltensweisen/Missbrauch Anwendung. Dies kann ein Verstoß gegen Gesetze und Vorschriften oder die Schaffung einer Situation sein, in der Mitarbeiter oder Dritte gefährdet sind (oder sein können).</w:t>
      </w:r>
    </w:p>
    <w:p w14:paraId="3C330E07" w14:textId="7516F0CF" w:rsidR="000C793C" w:rsidRPr="00EA2BF9" w:rsidRDefault="000C793C" w:rsidP="00EC3394">
      <w:pPr>
        <w:pStyle w:val="Default"/>
        <w:jc w:val="both"/>
        <w:rPr>
          <w:rFonts w:asciiTheme="minorHAnsi" w:hAnsiTheme="minorHAnsi" w:cstheme="minorHAnsi"/>
          <w:color w:val="132C45"/>
          <w:sz w:val="22"/>
          <w:szCs w:val="22"/>
        </w:rPr>
      </w:pPr>
      <w:r w:rsidRPr="00EA2BF9">
        <w:rPr>
          <w:rFonts w:asciiTheme="minorHAnsi" w:hAnsiTheme="minorHAnsi" w:cstheme="minorHAnsi"/>
          <w:color w:val="132C45"/>
          <w:sz w:val="22"/>
          <w:szCs w:val="22"/>
        </w:rPr>
        <w:t xml:space="preserve">Der Missbrauch muss über das persönliche Interesse des Hinweisgebers / Berichterstatters hinausgehen, z.B. weil es sich um eine gewisse Schwere oder Tragweite handelt oder weil </w:t>
      </w:r>
      <w:proofErr w:type="gramStart"/>
      <w:r w:rsidRPr="00EA2BF9">
        <w:rPr>
          <w:rFonts w:asciiTheme="minorHAnsi" w:hAnsiTheme="minorHAnsi" w:cstheme="minorHAnsi"/>
          <w:color w:val="132C45"/>
          <w:sz w:val="22"/>
          <w:szCs w:val="22"/>
        </w:rPr>
        <w:t>dieser struktureller Natur</w:t>
      </w:r>
      <w:proofErr w:type="gramEnd"/>
      <w:r w:rsidRPr="00EA2BF9">
        <w:rPr>
          <w:rFonts w:asciiTheme="minorHAnsi" w:hAnsiTheme="minorHAnsi" w:cstheme="minorHAnsi"/>
          <w:color w:val="132C45"/>
          <w:sz w:val="22"/>
          <w:szCs w:val="22"/>
        </w:rPr>
        <w:t xml:space="preserve"> ist.</w:t>
      </w:r>
    </w:p>
    <w:p w14:paraId="0C213BEC" w14:textId="77777777" w:rsidR="000C793C" w:rsidRPr="00EA2BF9" w:rsidRDefault="000C793C" w:rsidP="00EC3394">
      <w:pPr>
        <w:pStyle w:val="Default"/>
        <w:jc w:val="both"/>
        <w:rPr>
          <w:rFonts w:asciiTheme="minorHAnsi" w:hAnsiTheme="minorHAnsi" w:cstheme="minorHAnsi"/>
          <w:color w:val="132C45"/>
          <w:sz w:val="22"/>
          <w:szCs w:val="22"/>
        </w:rPr>
      </w:pPr>
    </w:p>
    <w:p w14:paraId="23648BF1" w14:textId="77777777" w:rsidR="000C793C" w:rsidRPr="00EA2BF9" w:rsidRDefault="000C793C" w:rsidP="00EC3394">
      <w:pPr>
        <w:spacing w:after="0" w:line="240" w:lineRule="auto"/>
        <w:jc w:val="both"/>
        <w:rPr>
          <w:color w:val="8EAADB" w:themeColor="accent1" w:themeTint="99"/>
          <w:lang w:val="en-US"/>
        </w:rPr>
      </w:pPr>
      <w:r w:rsidRPr="00EA2BF9">
        <w:rPr>
          <w:color w:val="8EAADB" w:themeColor="accent1" w:themeTint="99"/>
          <w:lang w:val="en-US"/>
        </w:rPr>
        <w:t>This procedure applies in the event of a report of suspected or actual misconduct/abuse. This may be a violation of laws and regulations or the creation of a situation in which employees or third parties are (or may be) at risk.</w:t>
      </w:r>
    </w:p>
    <w:p w14:paraId="2A2C5969" w14:textId="6359575E" w:rsidR="000C793C" w:rsidRPr="00EA2BF9" w:rsidRDefault="000C793C" w:rsidP="00EC3394">
      <w:pPr>
        <w:spacing w:after="0" w:line="240" w:lineRule="auto"/>
        <w:jc w:val="both"/>
        <w:rPr>
          <w:color w:val="8EAADB" w:themeColor="accent1" w:themeTint="99"/>
          <w:lang w:val="en-US"/>
        </w:rPr>
      </w:pPr>
      <w:r w:rsidRPr="00EA2BF9">
        <w:rPr>
          <w:color w:val="8EAADB" w:themeColor="accent1" w:themeTint="99"/>
          <w:lang w:val="en-US"/>
        </w:rPr>
        <w:t xml:space="preserve">The abuse must go beyond the personal interest of the whistleblower/reporter, </w:t>
      </w:r>
      <w:proofErr w:type="gramStart"/>
      <w:r w:rsidRPr="00EA2BF9">
        <w:rPr>
          <w:color w:val="8EAADB" w:themeColor="accent1" w:themeTint="99"/>
          <w:lang w:val="en-US"/>
        </w:rPr>
        <w:t>e.g.</w:t>
      </w:r>
      <w:proofErr w:type="gramEnd"/>
      <w:r w:rsidRPr="00EA2BF9">
        <w:rPr>
          <w:color w:val="8EAADB" w:themeColor="accent1" w:themeTint="99"/>
          <w:lang w:val="en-US"/>
        </w:rPr>
        <w:t xml:space="preserve"> because it is of a certain severity or scope or because it is structural in nature.</w:t>
      </w:r>
    </w:p>
    <w:p w14:paraId="7A512DC8" w14:textId="77777777" w:rsidR="000C793C" w:rsidRPr="00EA2BF9" w:rsidRDefault="000C793C" w:rsidP="00EC3394">
      <w:pPr>
        <w:spacing w:after="0" w:line="240" w:lineRule="auto"/>
        <w:jc w:val="both"/>
        <w:rPr>
          <w:color w:val="0E2C45"/>
          <w:lang w:val="en-US"/>
        </w:rPr>
      </w:pPr>
    </w:p>
    <w:p w14:paraId="0670B0BD" w14:textId="36928E37" w:rsidR="00EC3394" w:rsidRPr="00EA2BF9" w:rsidRDefault="00EC3394" w:rsidP="00EC3394">
      <w:pPr>
        <w:spacing w:after="0" w:line="240" w:lineRule="auto"/>
        <w:jc w:val="both"/>
        <w:rPr>
          <w:b/>
          <w:bCs/>
          <w:color w:val="0E2C45"/>
        </w:rPr>
      </w:pPr>
      <w:r w:rsidRPr="00EA2BF9">
        <w:rPr>
          <w:b/>
          <w:bCs/>
          <w:color w:val="0E2C45"/>
        </w:rPr>
        <w:t xml:space="preserve">Im Falle eines Verstoßes gegen die Ethik-Politik bzw. den Code </w:t>
      </w:r>
      <w:proofErr w:type="spellStart"/>
      <w:r w:rsidRPr="00EA2BF9">
        <w:rPr>
          <w:b/>
          <w:bCs/>
          <w:color w:val="0E2C45"/>
        </w:rPr>
        <w:t>of</w:t>
      </w:r>
      <w:proofErr w:type="spellEnd"/>
      <w:r w:rsidRPr="00EA2BF9">
        <w:rPr>
          <w:b/>
          <w:bCs/>
          <w:color w:val="0E2C45"/>
        </w:rPr>
        <w:t xml:space="preserve"> Conduct</w:t>
      </w:r>
    </w:p>
    <w:p w14:paraId="2F669ED6" w14:textId="77777777" w:rsidR="00EC3394" w:rsidRPr="00EA2BF9" w:rsidRDefault="00EC3394" w:rsidP="00EC3394">
      <w:pPr>
        <w:spacing w:after="0" w:line="240" w:lineRule="auto"/>
        <w:jc w:val="both"/>
        <w:rPr>
          <w:b/>
          <w:bCs/>
          <w:color w:val="0E2C45"/>
        </w:rPr>
      </w:pPr>
    </w:p>
    <w:p w14:paraId="7E2E87E5" w14:textId="3376A9FE" w:rsidR="00EC3394" w:rsidRPr="00EA2BF9" w:rsidRDefault="00EC3394" w:rsidP="00EC3394">
      <w:pPr>
        <w:spacing w:after="0" w:line="240" w:lineRule="auto"/>
        <w:jc w:val="both"/>
      </w:pPr>
      <w:r w:rsidRPr="00EA2BF9">
        <w:t>Sollte ein Verstoß bzw. ein begründeter Verdacht eines Verstoßes gegen die Ethik-Politik bzw</w:t>
      </w:r>
      <w:r w:rsidR="001422B1" w:rsidRPr="00EA2BF9">
        <w:t>.</w:t>
      </w:r>
      <w:r w:rsidRPr="00EA2BF9">
        <w:t xml:space="preserve"> den Verhaltenskodex vorliegen</w:t>
      </w:r>
      <w:r w:rsidR="001422B1" w:rsidRPr="00EA2BF9">
        <w:t>,</w:t>
      </w:r>
      <w:r w:rsidRPr="00EA2BF9">
        <w:t xml:space="preserve"> steht Ihnen Rechtsanwalt Nikolai </w:t>
      </w:r>
      <w:proofErr w:type="spellStart"/>
      <w:r w:rsidRPr="00EA2BF9">
        <w:t>Zutz</w:t>
      </w:r>
      <w:proofErr w:type="spellEnd"/>
      <w:r w:rsidRPr="00EA2BF9">
        <w:t xml:space="preserve"> zur Verfügung. Unter Bezugnahme auf den „Prinsen Berning Verhaltenskodex“ wird er Ihre Meldung aufnehmen und Ihnen auf Wunsch Anonymität zusichern. Der Kontakt und die Meldung </w:t>
      </w:r>
      <w:proofErr w:type="gramStart"/>
      <w:r w:rsidRPr="00EA2BF9">
        <w:t>ist</w:t>
      </w:r>
      <w:proofErr w:type="gramEnd"/>
      <w:r w:rsidRPr="00EA2BF9">
        <w:t xml:space="preserve"> für Sie kostenfrei.</w:t>
      </w:r>
    </w:p>
    <w:p w14:paraId="08AC5F82" w14:textId="1EC62B45" w:rsidR="00EC3394" w:rsidRPr="00EA2BF9" w:rsidRDefault="00EC3394" w:rsidP="00EC3394">
      <w:pPr>
        <w:spacing w:after="0" w:line="240" w:lineRule="auto"/>
        <w:jc w:val="both"/>
      </w:pPr>
      <w:r w:rsidRPr="00EA2BF9">
        <w:t xml:space="preserve">Herr </w:t>
      </w:r>
      <w:proofErr w:type="spellStart"/>
      <w:r w:rsidRPr="00EA2BF9">
        <w:t>Zutz</w:t>
      </w:r>
      <w:proofErr w:type="spellEnd"/>
      <w:r w:rsidRPr="00EA2BF9">
        <w:t xml:space="preserve"> wird den Fall der Geschäftsführung bzw</w:t>
      </w:r>
      <w:r w:rsidR="001422B1" w:rsidRPr="00EA2BF9">
        <w:t>.</w:t>
      </w:r>
      <w:r w:rsidRPr="00EA2BF9">
        <w:t xml:space="preserve"> dem CEO mitteilen, steht Ihnen für Fragen während des Prozesses zur Verfügung und wird Ihnen auch eine finale Rückmeldung geben.</w:t>
      </w:r>
    </w:p>
    <w:p w14:paraId="102C8177" w14:textId="77777777" w:rsidR="00EC3394" w:rsidRPr="00EA2BF9" w:rsidRDefault="00EC3394" w:rsidP="00EC3394">
      <w:pPr>
        <w:spacing w:after="0" w:line="240" w:lineRule="auto"/>
        <w:jc w:val="both"/>
      </w:pPr>
    </w:p>
    <w:p w14:paraId="572E7DD4" w14:textId="051D35A4" w:rsidR="00EC3394" w:rsidRPr="00EA2BF9" w:rsidRDefault="00EA2BF9" w:rsidP="00EC3394">
      <w:pPr>
        <w:spacing w:after="0" w:line="240" w:lineRule="auto"/>
        <w:jc w:val="both"/>
        <w:rPr>
          <w:color w:val="8EAADB" w:themeColor="accent1" w:themeTint="99"/>
          <w:lang w:val="en-US"/>
        </w:rPr>
      </w:pPr>
      <w:r w:rsidRPr="00EA2BF9">
        <w:rPr>
          <w:color w:val="8EAADB" w:themeColor="accent1" w:themeTint="99"/>
          <w:lang w:val="en-US"/>
        </w:rPr>
        <w:t>In case</w:t>
      </w:r>
      <w:r w:rsidR="00EC3394" w:rsidRPr="00EA2BF9">
        <w:rPr>
          <w:color w:val="8EAADB" w:themeColor="accent1" w:themeTint="99"/>
          <w:lang w:val="en-US"/>
        </w:rPr>
        <w:t xml:space="preserve"> there is a violation or a reasonable suspicion of a violation of the Ethics Policy or the Code of Conduct</w:t>
      </w:r>
      <w:r w:rsidRPr="00EA2BF9">
        <w:rPr>
          <w:color w:val="8EAADB" w:themeColor="accent1" w:themeTint="99"/>
          <w:lang w:val="en-US"/>
        </w:rPr>
        <w:t>, a</w:t>
      </w:r>
      <w:r w:rsidRPr="00EA2BF9">
        <w:rPr>
          <w:color w:val="8EAADB" w:themeColor="accent1" w:themeTint="99"/>
          <w:lang w:val="en-US"/>
        </w:rPr>
        <w:t xml:space="preserve">ttorney Nikolai </w:t>
      </w:r>
      <w:proofErr w:type="spellStart"/>
      <w:r w:rsidRPr="00EA2BF9">
        <w:rPr>
          <w:color w:val="8EAADB" w:themeColor="accent1" w:themeTint="99"/>
          <w:lang w:val="en-US"/>
        </w:rPr>
        <w:t>Zutz</w:t>
      </w:r>
      <w:proofErr w:type="spellEnd"/>
      <w:r w:rsidRPr="00EA2BF9">
        <w:rPr>
          <w:color w:val="8EAADB" w:themeColor="accent1" w:themeTint="99"/>
          <w:lang w:val="en-US"/>
        </w:rPr>
        <w:t xml:space="preserve"> is at your disposal</w:t>
      </w:r>
      <w:r w:rsidR="00EC3394" w:rsidRPr="00EA2BF9">
        <w:rPr>
          <w:color w:val="8EAADB" w:themeColor="accent1" w:themeTint="99"/>
          <w:lang w:val="en-US"/>
        </w:rPr>
        <w:t>. With reference to the "Prinsen Berning Code of Conduct", he will record your report and assure you of anonymity if you wish. The contact and the report are free of charge for you.</w:t>
      </w:r>
    </w:p>
    <w:p w14:paraId="2D9E0D1A" w14:textId="7516159B" w:rsidR="00EC3394" w:rsidRPr="00EA2BF9" w:rsidRDefault="00EC3394" w:rsidP="00EC3394">
      <w:pPr>
        <w:spacing w:after="0" w:line="240" w:lineRule="auto"/>
        <w:jc w:val="both"/>
        <w:rPr>
          <w:color w:val="8EAADB" w:themeColor="accent1" w:themeTint="99"/>
          <w:lang w:val="en-US"/>
        </w:rPr>
      </w:pPr>
      <w:r w:rsidRPr="00EA2BF9">
        <w:rPr>
          <w:color w:val="8EAADB" w:themeColor="accent1" w:themeTint="99"/>
          <w:lang w:val="en-US"/>
        </w:rPr>
        <w:t xml:space="preserve">Mr. </w:t>
      </w:r>
      <w:proofErr w:type="spellStart"/>
      <w:r w:rsidRPr="00EA2BF9">
        <w:rPr>
          <w:color w:val="8EAADB" w:themeColor="accent1" w:themeTint="99"/>
          <w:lang w:val="en-US"/>
        </w:rPr>
        <w:t>Zutz</w:t>
      </w:r>
      <w:proofErr w:type="spellEnd"/>
      <w:r w:rsidRPr="00EA2BF9">
        <w:rPr>
          <w:color w:val="8EAADB" w:themeColor="accent1" w:themeTint="99"/>
          <w:lang w:val="en-US"/>
        </w:rPr>
        <w:t xml:space="preserve"> will report the case to the management or the CEO, is available to answer your questions during the process and will also give you </w:t>
      </w:r>
      <w:r w:rsidR="00EA2BF9" w:rsidRPr="00EA2BF9">
        <w:rPr>
          <w:color w:val="8EAADB" w:themeColor="accent1" w:themeTint="99"/>
          <w:lang w:val="en-US"/>
        </w:rPr>
        <w:t>final feedback</w:t>
      </w:r>
      <w:r w:rsidRPr="00EA2BF9">
        <w:rPr>
          <w:color w:val="8EAADB" w:themeColor="accent1" w:themeTint="99"/>
          <w:lang w:val="en-US"/>
        </w:rPr>
        <w:t xml:space="preserve">. </w:t>
      </w:r>
    </w:p>
    <w:p w14:paraId="2369652E" w14:textId="77777777" w:rsidR="00EC3394" w:rsidRPr="00EC3394" w:rsidRDefault="00EC3394" w:rsidP="00EC3394">
      <w:pPr>
        <w:spacing w:after="0" w:line="240" w:lineRule="auto"/>
        <w:jc w:val="both"/>
        <w:rPr>
          <w:lang w:val="en-US"/>
        </w:rPr>
      </w:pPr>
    </w:p>
    <w:p w14:paraId="67B1F7E8" w14:textId="635EA435" w:rsidR="00EC3394" w:rsidRDefault="00EC3394" w:rsidP="00EC3394">
      <w:pPr>
        <w:pStyle w:val="Kopfzeile"/>
        <w:tabs>
          <w:tab w:val="clear" w:pos="4536"/>
          <w:tab w:val="clear" w:pos="9072"/>
          <w:tab w:val="left" w:pos="5929"/>
        </w:tabs>
      </w:pPr>
    </w:p>
    <w:p w14:paraId="271DE6F3" w14:textId="77777777" w:rsidR="00EC3394" w:rsidRDefault="00EC3394" w:rsidP="00EC3394">
      <w:pPr>
        <w:pStyle w:val="Kopfzeile"/>
        <w:tabs>
          <w:tab w:val="clear" w:pos="4536"/>
          <w:tab w:val="clear" w:pos="9072"/>
          <w:tab w:val="left" w:pos="5929"/>
        </w:tabs>
      </w:pPr>
    </w:p>
    <w:p w14:paraId="2B1DCB33" w14:textId="77777777" w:rsidR="00EC3394" w:rsidRDefault="00EC3394" w:rsidP="00EC3394">
      <w:pPr>
        <w:pStyle w:val="Kopfzeile"/>
        <w:tabs>
          <w:tab w:val="clear" w:pos="4536"/>
          <w:tab w:val="clear" w:pos="9072"/>
          <w:tab w:val="left" w:pos="5929"/>
        </w:tabs>
      </w:pPr>
    </w:p>
    <w:p w14:paraId="04EA38D6" w14:textId="00A209CD" w:rsidR="00EC3394" w:rsidRPr="00EA2BF9" w:rsidRDefault="00EC3394" w:rsidP="00EC3394">
      <w:pPr>
        <w:pStyle w:val="Kopfzeile"/>
        <w:tabs>
          <w:tab w:val="clear" w:pos="4536"/>
          <w:tab w:val="clear" w:pos="9072"/>
          <w:tab w:val="left" w:pos="3155"/>
        </w:tabs>
        <w:rPr>
          <w:rFonts w:cstheme="minorHAnsi"/>
          <w:color w:val="222A35" w:themeColor="text2" w:themeShade="80"/>
        </w:rPr>
      </w:pPr>
      <w:bookmarkStart w:id="0" w:name="_Hlk83114187"/>
      <w:bookmarkStart w:id="1" w:name="_Hlk83114188"/>
      <w:bookmarkStart w:id="2" w:name="_Hlk83114194"/>
      <w:bookmarkStart w:id="3" w:name="_Hlk83114195"/>
      <w:bookmarkStart w:id="4" w:name="_Hlk83114196"/>
      <w:bookmarkStart w:id="5" w:name="_Hlk83114197"/>
      <w:r w:rsidRPr="00EA2BF9">
        <w:rPr>
          <w:noProof/>
          <w:sz w:val="24"/>
          <w:szCs w:val="24"/>
        </w:rPr>
        <w:drawing>
          <wp:anchor distT="0" distB="0" distL="114300" distR="114300" simplePos="0" relativeHeight="251663360" behindDoc="1" locked="0" layoutInCell="1" allowOverlap="1" wp14:anchorId="25DC3040" wp14:editId="4D5B9CB8">
            <wp:simplePos x="0" y="0"/>
            <wp:positionH relativeFrom="page">
              <wp:align>right</wp:align>
            </wp:positionH>
            <wp:positionV relativeFrom="page">
              <wp:align>top</wp:align>
            </wp:positionV>
            <wp:extent cx="7557353" cy="10689999"/>
            <wp:effectExtent l="0" t="0" r="5715" b="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NL Den Bosch extended draf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7353" cy="10689999"/>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r w:rsidRPr="00EA2BF9">
        <w:rPr>
          <w:rFonts w:cstheme="minorHAnsi"/>
          <w:color w:val="222A35" w:themeColor="text2" w:themeShade="80"/>
        </w:rPr>
        <w:t>ZUR KLARSTELLUNG UND OHNE EINSCHRÄNKUNG: DER LIEFERANT IST EIN UNABHÄNGIGER UNTERNEHMER, ES BESTEHT KEIN JOINT VENTURE, KEINE PARTNERSCHAFT, KEINE AGENTUR ODER KEIN ARBEITSVERHÄLTNIS DURCH DIESEN CODE.</w:t>
      </w:r>
    </w:p>
    <w:p w14:paraId="3D9F42D8" w14:textId="77777777" w:rsidR="00EC3394" w:rsidRPr="00EA2BF9" w:rsidRDefault="00EC3394" w:rsidP="00EC3394">
      <w:pPr>
        <w:pStyle w:val="Kopfzeile"/>
        <w:tabs>
          <w:tab w:val="clear" w:pos="4536"/>
          <w:tab w:val="clear" w:pos="9072"/>
          <w:tab w:val="left" w:pos="3155"/>
        </w:tabs>
        <w:rPr>
          <w:sz w:val="24"/>
          <w:szCs w:val="24"/>
        </w:rPr>
      </w:pPr>
    </w:p>
    <w:p w14:paraId="28931C65" w14:textId="77777777" w:rsidR="00EC3394" w:rsidRPr="00EA2BF9" w:rsidRDefault="00EC3394" w:rsidP="00EC3394">
      <w:pPr>
        <w:jc w:val="both"/>
        <w:rPr>
          <w:rFonts w:cstheme="minorHAnsi"/>
          <w:color w:val="8EAADB" w:themeColor="accent1" w:themeTint="99"/>
          <w:lang w:val="en-US"/>
        </w:rPr>
      </w:pPr>
      <w:r w:rsidRPr="00EA2BF9">
        <w:rPr>
          <w:rFonts w:cstheme="minorHAnsi"/>
          <w:color w:val="8EAADB" w:themeColor="accent1" w:themeTint="99"/>
          <w:lang w:val="en-US"/>
        </w:rPr>
        <w:t xml:space="preserve">FOR CLARIFICATION AND WITHOUT QUALIFICATION, THE SUPPLIER IS AN INDEPENDENT CONTRACTOR, NO JOINT VENTURE, PARTNERSHIP, </w:t>
      </w:r>
      <w:proofErr w:type="gramStart"/>
      <w:r w:rsidRPr="00EA2BF9">
        <w:rPr>
          <w:rFonts w:cstheme="minorHAnsi"/>
          <w:color w:val="8EAADB" w:themeColor="accent1" w:themeTint="99"/>
          <w:lang w:val="en-US"/>
        </w:rPr>
        <w:t>AGENCY</w:t>
      </w:r>
      <w:proofErr w:type="gramEnd"/>
      <w:r w:rsidRPr="00EA2BF9">
        <w:rPr>
          <w:rFonts w:cstheme="minorHAnsi"/>
          <w:color w:val="8EAADB" w:themeColor="accent1" w:themeTint="99"/>
          <w:lang w:val="en-US"/>
        </w:rPr>
        <w:t xml:space="preserve"> OR EMPLOYMENT RELATIONSHIP EXISTS BY THIS CODE.</w:t>
      </w:r>
    </w:p>
    <w:p w14:paraId="2EB52071" w14:textId="1522F62E" w:rsidR="00EC3394" w:rsidRPr="00EA2BF9" w:rsidRDefault="00EC3394" w:rsidP="00EC3394">
      <w:pPr>
        <w:jc w:val="both"/>
        <w:rPr>
          <w:rFonts w:cstheme="minorHAnsi"/>
          <w:color w:val="222A35" w:themeColor="text2" w:themeShade="80"/>
        </w:rPr>
      </w:pPr>
      <w:r w:rsidRPr="00EA2BF9">
        <w:rPr>
          <w:rFonts w:cstheme="minorHAnsi"/>
          <w:color w:val="222A35" w:themeColor="text2" w:themeShade="80"/>
        </w:rPr>
        <w:t xml:space="preserve">Mit unserer Unterschrift bestätigen wir gegenüber der Gustav Berning GmbH &amp; Co. KG den Erhalt </w:t>
      </w:r>
      <w:r w:rsidR="00D83924" w:rsidRPr="00EA2BF9">
        <w:rPr>
          <w:rFonts w:cstheme="minorHAnsi"/>
          <w:color w:val="222A35" w:themeColor="text2" w:themeShade="80"/>
        </w:rPr>
        <w:t xml:space="preserve">des Meldeverfahrens </w:t>
      </w:r>
      <w:r w:rsidRPr="00EA2BF9">
        <w:rPr>
          <w:rFonts w:cstheme="minorHAnsi"/>
          <w:color w:val="222A35" w:themeColor="text2" w:themeShade="80"/>
        </w:rPr>
        <w:t>der Gustav Berning GmbH &amp; Co. KG sowie die Einhaltung der darin formulierten Anforderungen.</w:t>
      </w:r>
    </w:p>
    <w:p w14:paraId="75AA490B" w14:textId="77777777" w:rsidR="00EC3394" w:rsidRPr="00EA2BF9" w:rsidRDefault="00EC3394" w:rsidP="00EC3394">
      <w:pPr>
        <w:jc w:val="both"/>
        <w:rPr>
          <w:rFonts w:cstheme="minorHAnsi"/>
          <w:color w:val="8EAADB" w:themeColor="accent1" w:themeTint="99"/>
          <w:lang w:val="en-US"/>
        </w:rPr>
      </w:pPr>
      <w:proofErr w:type="spellStart"/>
      <w:r w:rsidRPr="00EA2BF9">
        <w:rPr>
          <w:rFonts w:cstheme="minorHAnsi"/>
          <w:color w:val="8EAADB" w:themeColor="accent1" w:themeTint="99"/>
        </w:rPr>
        <w:t>With</w:t>
      </w:r>
      <w:proofErr w:type="spellEnd"/>
      <w:r w:rsidRPr="00EA2BF9">
        <w:rPr>
          <w:rFonts w:cstheme="minorHAnsi"/>
          <w:color w:val="8EAADB" w:themeColor="accent1" w:themeTint="99"/>
        </w:rPr>
        <w:t xml:space="preserve"> </w:t>
      </w:r>
      <w:proofErr w:type="spellStart"/>
      <w:r w:rsidRPr="00EA2BF9">
        <w:rPr>
          <w:rFonts w:cstheme="minorHAnsi"/>
          <w:color w:val="8EAADB" w:themeColor="accent1" w:themeTint="99"/>
        </w:rPr>
        <w:t>our</w:t>
      </w:r>
      <w:proofErr w:type="spellEnd"/>
      <w:r w:rsidRPr="00EA2BF9">
        <w:rPr>
          <w:rFonts w:cstheme="minorHAnsi"/>
          <w:color w:val="8EAADB" w:themeColor="accent1" w:themeTint="99"/>
        </w:rPr>
        <w:t xml:space="preserve"> </w:t>
      </w:r>
      <w:proofErr w:type="spellStart"/>
      <w:r w:rsidRPr="00EA2BF9">
        <w:rPr>
          <w:rFonts w:cstheme="minorHAnsi"/>
          <w:color w:val="8EAADB" w:themeColor="accent1" w:themeTint="99"/>
        </w:rPr>
        <w:t>signature</w:t>
      </w:r>
      <w:proofErr w:type="spellEnd"/>
      <w:r w:rsidRPr="00EA2BF9">
        <w:rPr>
          <w:rFonts w:cstheme="minorHAnsi"/>
          <w:color w:val="8EAADB" w:themeColor="accent1" w:themeTint="99"/>
        </w:rPr>
        <w:t xml:space="preserve"> </w:t>
      </w:r>
      <w:proofErr w:type="spellStart"/>
      <w:r w:rsidRPr="00EA2BF9">
        <w:rPr>
          <w:rFonts w:cstheme="minorHAnsi"/>
          <w:color w:val="8EAADB" w:themeColor="accent1" w:themeTint="99"/>
        </w:rPr>
        <w:t>we</w:t>
      </w:r>
      <w:proofErr w:type="spellEnd"/>
      <w:r w:rsidRPr="00EA2BF9">
        <w:rPr>
          <w:rFonts w:cstheme="minorHAnsi"/>
          <w:color w:val="8EAADB" w:themeColor="accent1" w:themeTint="99"/>
        </w:rPr>
        <w:t xml:space="preserve"> </w:t>
      </w:r>
      <w:proofErr w:type="spellStart"/>
      <w:r w:rsidRPr="00EA2BF9">
        <w:rPr>
          <w:rFonts w:cstheme="minorHAnsi"/>
          <w:color w:val="8EAADB" w:themeColor="accent1" w:themeTint="99"/>
        </w:rPr>
        <w:t>confirm</w:t>
      </w:r>
      <w:proofErr w:type="spellEnd"/>
      <w:r w:rsidRPr="00EA2BF9">
        <w:rPr>
          <w:rFonts w:cstheme="minorHAnsi"/>
          <w:color w:val="8EAADB" w:themeColor="accent1" w:themeTint="99"/>
        </w:rPr>
        <w:t xml:space="preserve"> </w:t>
      </w:r>
      <w:proofErr w:type="spellStart"/>
      <w:r w:rsidRPr="00EA2BF9">
        <w:rPr>
          <w:rFonts w:cstheme="minorHAnsi"/>
          <w:color w:val="8EAADB" w:themeColor="accent1" w:themeTint="99"/>
        </w:rPr>
        <w:t>to</w:t>
      </w:r>
      <w:proofErr w:type="spellEnd"/>
      <w:r w:rsidRPr="00EA2BF9">
        <w:rPr>
          <w:rFonts w:cstheme="minorHAnsi"/>
          <w:color w:val="8EAADB" w:themeColor="accent1" w:themeTint="99"/>
        </w:rPr>
        <w:t xml:space="preserve"> Gustav Berning GmbH &amp; Co. </w:t>
      </w:r>
      <w:r w:rsidRPr="00EA2BF9">
        <w:rPr>
          <w:rFonts w:cstheme="minorHAnsi"/>
          <w:color w:val="8EAADB" w:themeColor="accent1" w:themeTint="99"/>
          <w:lang w:val="en-US"/>
        </w:rPr>
        <w:t>KG the receipt of the Gustav Berning GmbH &amp; Co. KG Ethics Policy and compliance with the requirements formulated therein.</w:t>
      </w:r>
    </w:p>
    <w:tbl>
      <w:tblPr>
        <w:tblStyle w:val="Tabellenraster"/>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5403"/>
      </w:tblGrid>
      <w:tr w:rsidR="00EC3394" w:rsidRPr="002A2EB5" w14:paraId="1C688AE9" w14:textId="77777777" w:rsidTr="00EA2BF9">
        <w:trPr>
          <w:trHeight w:val="567"/>
        </w:trPr>
        <w:tc>
          <w:tcPr>
            <w:tcW w:w="2028" w:type="pct"/>
            <w:vAlign w:val="bottom"/>
          </w:tcPr>
          <w:p w14:paraId="20C11B77" w14:textId="77777777" w:rsidR="00EC3394" w:rsidRPr="002A2EB5" w:rsidRDefault="00EC3394" w:rsidP="008B57BD">
            <w:pPr>
              <w:rPr>
                <w:rFonts w:asciiTheme="minorHAnsi" w:hAnsiTheme="minorHAnsi" w:cstheme="minorHAnsi"/>
                <w:b/>
              </w:rPr>
            </w:pPr>
            <w:r w:rsidRPr="00EA2BF9">
              <w:rPr>
                <w:rFonts w:asciiTheme="minorHAnsi" w:hAnsiTheme="minorHAnsi" w:cstheme="minorHAnsi"/>
                <w:b/>
                <w:color w:val="132C45"/>
                <w:sz w:val="22"/>
                <w:szCs w:val="22"/>
              </w:rPr>
              <w:t xml:space="preserve">Name / Position / </w:t>
            </w:r>
            <w:r w:rsidRPr="00EA2BF9">
              <w:rPr>
                <w:rFonts w:asciiTheme="minorHAnsi" w:hAnsiTheme="minorHAnsi" w:cstheme="minorHAnsi"/>
                <w:b/>
                <w:bCs/>
                <w:color w:val="8EAADB" w:themeColor="accent1" w:themeTint="99"/>
                <w:sz w:val="22"/>
                <w:szCs w:val="22"/>
              </w:rPr>
              <w:t>name / position</w:t>
            </w:r>
            <w:r w:rsidRPr="002A2EB5">
              <w:rPr>
                <w:rFonts w:asciiTheme="minorHAnsi" w:hAnsiTheme="minorHAnsi" w:cstheme="minorHAnsi"/>
                <w:b/>
                <w:bCs/>
                <w:color w:val="8EAADB" w:themeColor="accent1" w:themeTint="99"/>
              </w:rPr>
              <w:t>:</w:t>
            </w:r>
          </w:p>
        </w:tc>
        <w:tc>
          <w:tcPr>
            <w:tcW w:w="2972" w:type="pct"/>
            <w:tcBorders>
              <w:bottom w:val="single" w:sz="4" w:space="0" w:color="132C45"/>
            </w:tcBorders>
            <w:vAlign w:val="bottom"/>
          </w:tcPr>
          <w:p w14:paraId="2B47706F" w14:textId="77777777" w:rsidR="00EC3394" w:rsidRPr="002A2EB5" w:rsidRDefault="00EC3394" w:rsidP="008B57BD">
            <w:pPr>
              <w:rPr>
                <w:rFonts w:asciiTheme="minorHAnsi" w:hAnsiTheme="minorHAnsi" w:cstheme="minorHAnsi"/>
                <w:color w:val="132C45"/>
              </w:rPr>
            </w:pPr>
          </w:p>
          <w:p w14:paraId="6EB121BF" w14:textId="77777777" w:rsidR="00EC3394" w:rsidRPr="002A2EB5" w:rsidRDefault="00EC3394" w:rsidP="008B57BD">
            <w:pPr>
              <w:rPr>
                <w:rFonts w:asciiTheme="minorHAnsi" w:hAnsiTheme="minorHAnsi" w:cstheme="minorHAnsi"/>
                <w:color w:val="132C45"/>
              </w:rPr>
            </w:pPr>
          </w:p>
        </w:tc>
      </w:tr>
      <w:tr w:rsidR="00EC3394" w:rsidRPr="002A2EB5" w14:paraId="26EFBCBD" w14:textId="77777777" w:rsidTr="00EA2BF9">
        <w:trPr>
          <w:trHeight w:val="567"/>
        </w:trPr>
        <w:tc>
          <w:tcPr>
            <w:tcW w:w="2028" w:type="pct"/>
            <w:vAlign w:val="bottom"/>
          </w:tcPr>
          <w:p w14:paraId="71A5BD1F" w14:textId="77777777" w:rsidR="00EC3394" w:rsidRPr="002A2EB5" w:rsidRDefault="00EC3394" w:rsidP="008B57BD">
            <w:pPr>
              <w:rPr>
                <w:rFonts w:asciiTheme="minorHAnsi" w:hAnsiTheme="minorHAnsi" w:cstheme="minorHAnsi"/>
                <w:color w:val="808080" w:themeColor="background1" w:themeShade="80"/>
              </w:rPr>
            </w:pPr>
            <w:r w:rsidRPr="00EA2BF9">
              <w:rPr>
                <w:rFonts w:asciiTheme="minorHAnsi" w:hAnsiTheme="minorHAnsi" w:cstheme="minorHAnsi"/>
                <w:b/>
                <w:color w:val="132C45"/>
                <w:sz w:val="22"/>
                <w:szCs w:val="22"/>
              </w:rPr>
              <w:t xml:space="preserve">Ort, Datum / </w:t>
            </w:r>
            <w:r w:rsidRPr="00EA2BF9">
              <w:rPr>
                <w:rFonts w:asciiTheme="minorHAnsi" w:hAnsiTheme="minorHAnsi" w:cstheme="minorHAnsi"/>
                <w:b/>
                <w:bCs/>
                <w:color w:val="8EAADB" w:themeColor="accent1" w:themeTint="99"/>
                <w:sz w:val="22"/>
                <w:szCs w:val="22"/>
              </w:rPr>
              <w:t>place, date:</w:t>
            </w:r>
          </w:p>
        </w:tc>
        <w:tc>
          <w:tcPr>
            <w:tcW w:w="2972" w:type="pct"/>
            <w:tcBorders>
              <w:top w:val="single" w:sz="4" w:space="0" w:color="132C45"/>
              <w:bottom w:val="single" w:sz="4" w:space="0" w:color="132C45"/>
            </w:tcBorders>
            <w:vAlign w:val="bottom"/>
          </w:tcPr>
          <w:p w14:paraId="7E553C1A" w14:textId="77777777" w:rsidR="00EC3394" w:rsidRPr="002A2EB5" w:rsidRDefault="00EC3394" w:rsidP="008B57BD">
            <w:pPr>
              <w:rPr>
                <w:rFonts w:asciiTheme="minorHAnsi" w:hAnsiTheme="minorHAnsi" w:cstheme="minorHAnsi"/>
                <w:color w:val="132C45"/>
              </w:rPr>
            </w:pPr>
          </w:p>
        </w:tc>
      </w:tr>
      <w:tr w:rsidR="00EC3394" w:rsidRPr="002A2EB5" w14:paraId="65DC2BBE" w14:textId="77777777" w:rsidTr="00EA2BF9">
        <w:trPr>
          <w:trHeight w:val="567"/>
        </w:trPr>
        <w:tc>
          <w:tcPr>
            <w:tcW w:w="2028" w:type="pct"/>
            <w:vAlign w:val="bottom"/>
          </w:tcPr>
          <w:p w14:paraId="56286BE9" w14:textId="77777777" w:rsidR="00EC3394" w:rsidRPr="002A2EB5" w:rsidRDefault="00EC3394" w:rsidP="008B57BD">
            <w:pPr>
              <w:rPr>
                <w:rFonts w:asciiTheme="minorHAnsi" w:hAnsiTheme="minorHAnsi" w:cstheme="minorHAnsi"/>
                <w:b/>
                <w:color w:val="808080" w:themeColor="background1" w:themeShade="80"/>
              </w:rPr>
            </w:pPr>
            <w:r w:rsidRPr="00EA2BF9">
              <w:rPr>
                <w:rFonts w:asciiTheme="minorHAnsi" w:hAnsiTheme="minorHAnsi" w:cstheme="minorHAnsi"/>
                <w:b/>
                <w:color w:val="132C45"/>
                <w:sz w:val="22"/>
                <w:szCs w:val="22"/>
              </w:rPr>
              <w:t xml:space="preserve">Unterschrift / </w:t>
            </w:r>
            <w:r w:rsidRPr="00EA2BF9">
              <w:rPr>
                <w:rFonts w:asciiTheme="minorHAnsi" w:hAnsiTheme="minorHAnsi" w:cstheme="minorHAnsi"/>
                <w:b/>
                <w:color w:val="8EAADB" w:themeColor="accent1" w:themeTint="99"/>
                <w:sz w:val="22"/>
                <w:szCs w:val="22"/>
              </w:rPr>
              <w:t>signature:</w:t>
            </w:r>
          </w:p>
        </w:tc>
        <w:tc>
          <w:tcPr>
            <w:tcW w:w="2972" w:type="pct"/>
            <w:tcBorders>
              <w:top w:val="single" w:sz="4" w:space="0" w:color="132C45"/>
              <w:bottom w:val="single" w:sz="4" w:space="0" w:color="132C45"/>
            </w:tcBorders>
            <w:vAlign w:val="bottom"/>
          </w:tcPr>
          <w:p w14:paraId="67C0ADE5" w14:textId="77777777" w:rsidR="00EC3394" w:rsidRPr="002A2EB5" w:rsidRDefault="00EC3394" w:rsidP="008B57BD">
            <w:pPr>
              <w:rPr>
                <w:rFonts w:asciiTheme="minorHAnsi" w:hAnsiTheme="minorHAnsi" w:cstheme="minorHAnsi"/>
                <w:color w:val="132C45"/>
              </w:rPr>
            </w:pPr>
          </w:p>
        </w:tc>
      </w:tr>
      <w:tr w:rsidR="00EC3394" w:rsidRPr="002A2EB5" w14:paraId="3D359B39" w14:textId="77777777" w:rsidTr="00EA2BF9">
        <w:trPr>
          <w:trHeight w:val="567"/>
        </w:trPr>
        <w:tc>
          <w:tcPr>
            <w:tcW w:w="2028" w:type="pct"/>
            <w:vAlign w:val="bottom"/>
          </w:tcPr>
          <w:p w14:paraId="4A86F409" w14:textId="77777777" w:rsidR="00EC3394" w:rsidRPr="002A2EB5" w:rsidRDefault="00EC3394" w:rsidP="008B57BD">
            <w:pPr>
              <w:rPr>
                <w:rFonts w:asciiTheme="minorHAnsi" w:hAnsiTheme="minorHAnsi" w:cstheme="minorHAnsi"/>
                <w:color w:val="132C45"/>
              </w:rPr>
            </w:pPr>
            <w:r w:rsidRPr="00EA2BF9">
              <w:rPr>
                <w:rFonts w:asciiTheme="minorHAnsi" w:hAnsiTheme="minorHAnsi" w:cstheme="minorHAnsi"/>
                <w:b/>
                <w:bCs/>
                <w:color w:val="132C45"/>
                <w:sz w:val="22"/>
                <w:szCs w:val="22"/>
              </w:rPr>
              <w:t>Stempel /</w:t>
            </w:r>
            <w:r w:rsidRPr="00EA2BF9">
              <w:rPr>
                <w:rFonts w:asciiTheme="minorHAnsi" w:hAnsiTheme="minorHAnsi" w:cstheme="minorHAnsi"/>
                <w:color w:val="132C45"/>
                <w:sz w:val="22"/>
                <w:szCs w:val="22"/>
              </w:rPr>
              <w:t xml:space="preserve"> </w:t>
            </w:r>
            <w:r w:rsidRPr="00EA2BF9">
              <w:rPr>
                <w:rFonts w:asciiTheme="minorHAnsi" w:hAnsiTheme="minorHAnsi" w:cstheme="minorHAnsi"/>
                <w:b/>
                <w:bCs/>
                <w:color w:val="8EAADB" w:themeColor="accent1" w:themeTint="99"/>
                <w:sz w:val="22"/>
                <w:szCs w:val="22"/>
              </w:rPr>
              <w:t>stamp:</w:t>
            </w:r>
          </w:p>
        </w:tc>
        <w:tc>
          <w:tcPr>
            <w:tcW w:w="2972" w:type="pct"/>
            <w:tcBorders>
              <w:top w:val="single" w:sz="4" w:space="0" w:color="132C45"/>
              <w:bottom w:val="single" w:sz="4" w:space="0" w:color="132C45"/>
            </w:tcBorders>
            <w:vAlign w:val="bottom"/>
          </w:tcPr>
          <w:p w14:paraId="364CD935" w14:textId="77777777" w:rsidR="00EC3394" w:rsidRPr="002A2EB5" w:rsidRDefault="00EC3394" w:rsidP="008B57BD">
            <w:pPr>
              <w:rPr>
                <w:rFonts w:asciiTheme="minorHAnsi" w:hAnsiTheme="minorHAnsi" w:cstheme="minorHAnsi"/>
                <w:color w:val="132C45"/>
              </w:rPr>
            </w:pPr>
          </w:p>
        </w:tc>
      </w:tr>
    </w:tbl>
    <w:p w14:paraId="2B38F518" w14:textId="5DA5B54E" w:rsidR="000C793C" w:rsidRDefault="000C793C" w:rsidP="00EC3394">
      <w:pPr>
        <w:pStyle w:val="Kopfzeile"/>
        <w:tabs>
          <w:tab w:val="clear" w:pos="4536"/>
          <w:tab w:val="clear" w:pos="9072"/>
          <w:tab w:val="left" w:pos="5929"/>
        </w:tabs>
      </w:pPr>
      <w:r>
        <w:tab/>
      </w:r>
    </w:p>
    <w:p w14:paraId="431F5476" w14:textId="77777777" w:rsidR="000C793C" w:rsidRDefault="000C793C" w:rsidP="000C793C">
      <w:pPr>
        <w:pStyle w:val="Kopfzeile"/>
        <w:jc w:val="center"/>
      </w:pPr>
    </w:p>
    <w:p w14:paraId="23F81C4B" w14:textId="77777777" w:rsidR="000C793C" w:rsidRDefault="000C793C" w:rsidP="000C793C">
      <w:pPr>
        <w:pStyle w:val="Kopfzeile"/>
        <w:tabs>
          <w:tab w:val="clear" w:pos="4536"/>
          <w:tab w:val="clear" w:pos="9072"/>
          <w:tab w:val="left" w:pos="2012"/>
        </w:tabs>
      </w:pPr>
    </w:p>
    <w:p w14:paraId="00623288" w14:textId="01FB130D" w:rsidR="000C793C" w:rsidRDefault="000C793C" w:rsidP="000C793C">
      <w:pPr>
        <w:pStyle w:val="Kopfzeile"/>
        <w:tabs>
          <w:tab w:val="clear" w:pos="4536"/>
          <w:tab w:val="clear" w:pos="9072"/>
          <w:tab w:val="left" w:pos="2012"/>
          <w:tab w:val="left" w:pos="3210"/>
        </w:tabs>
      </w:pPr>
      <w:r>
        <w:tab/>
      </w:r>
      <w:r>
        <w:tab/>
      </w:r>
    </w:p>
    <w:p w14:paraId="5239313F" w14:textId="77777777" w:rsidR="000C793C" w:rsidRDefault="000C793C" w:rsidP="000C793C">
      <w:pPr>
        <w:pStyle w:val="Kopfzeile"/>
      </w:pPr>
    </w:p>
    <w:p w14:paraId="77230D4F" w14:textId="77777777" w:rsidR="000C793C" w:rsidRDefault="000C793C" w:rsidP="000C793C">
      <w:pPr>
        <w:pStyle w:val="Kopfzeile"/>
      </w:pPr>
    </w:p>
    <w:p w14:paraId="13E1ADC2" w14:textId="77777777" w:rsidR="00AB266C" w:rsidRPr="00EC3394" w:rsidRDefault="00AB266C">
      <w:pPr>
        <w:rPr>
          <w:lang w:val="en-US"/>
        </w:rPr>
      </w:pPr>
    </w:p>
    <w:sectPr w:rsidR="00AB266C" w:rsidRPr="00EC3394">
      <w:footerReference w:type="default" r:id="rId7"/>
      <w:footerReference w:type="firs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4B73" w14:textId="77777777" w:rsidR="004738CB" w:rsidRDefault="004738CB">
      <w:pPr>
        <w:spacing w:after="0" w:line="240" w:lineRule="auto"/>
      </w:pPr>
      <w:r>
        <w:separator/>
      </w:r>
    </w:p>
  </w:endnote>
  <w:endnote w:type="continuationSeparator" w:id="0">
    <w:p w14:paraId="682EFFE8" w14:textId="77777777" w:rsidR="004738CB" w:rsidRDefault="0047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0CF8" w14:textId="77777777" w:rsidR="00E92F4D" w:rsidRDefault="00D83924">
    <w:pPr>
      <w:pStyle w:val="Fuzeile"/>
      <w:jc w:val="right"/>
      <w:rPr>
        <w:color w:val="A59966"/>
      </w:rPr>
    </w:pPr>
    <w:r>
      <w:rPr>
        <w:noProof/>
      </w:rPr>
      <mc:AlternateContent>
        <mc:Choice Requires="wps">
          <w:drawing>
            <wp:anchor distT="0" distB="0" distL="114300" distR="114300" simplePos="0" relativeHeight="251659264" behindDoc="0" locked="0" layoutInCell="1" allowOverlap="1" wp14:anchorId="17B9E4DA" wp14:editId="518D4BC5">
              <wp:simplePos x="0" y="0"/>
              <wp:positionH relativeFrom="column">
                <wp:posOffset>-32908</wp:posOffset>
              </wp:positionH>
              <wp:positionV relativeFrom="paragraph">
                <wp:posOffset>23682</wp:posOffset>
              </wp:positionV>
              <wp:extent cx="592836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5928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F5C79" id="Rechte verbindingslijn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1.85pt" to="464.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" strokecolor="#4472c4 [3204]" strokeweight=".5pt">
              <v:stroke joinstyle="miter"/>
            </v:line>
          </w:pict>
        </mc:Fallback>
      </mc:AlternateContent>
    </w:r>
    <w:r>
      <w:rPr>
        <w:noProof/>
      </w:rPr>
      <w:drawing>
        <wp:anchor distT="0" distB="0" distL="114300" distR="114300" simplePos="0" relativeHeight="251660288" behindDoc="0" locked="0" layoutInCell="1" allowOverlap="1" wp14:anchorId="34A0B6D5" wp14:editId="1492E34C">
          <wp:simplePos x="0" y="0"/>
          <wp:positionH relativeFrom="margin">
            <wp:posOffset>-38100</wp:posOffset>
          </wp:positionH>
          <wp:positionV relativeFrom="margin">
            <wp:posOffset>9002395</wp:posOffset>
          </wp:positionV>
          <wp:extent cx="2588895" cy="114300"/>
          <wp:effectExtent l="0" t="0" r="1905" b="0"/>
          <wp:wrapSquare wrapText="bothSides"/>
          <wp:docPr id="2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95" cy="114300"/>
                  </a:xfrm>
                  <a:prstGeom prst="rect">
                    <a:avLst/>
                  </a:prstGeom>
                  <a:noFill/>
                  <a:ln>
                    <a:noFill/>
                  </a:ln>
                </pic:spPr>
              </pic:pic>
            </a:graphicData>
          </a:graphic>
        </wp:anchor>
      </w:drawing>
    </w:r>
    <w:r>
      <w:rPr>
        <w:color w:val="A59966"/>
      </w:rPr>
      <w:t xml:space="preserve">                                     </w:t>
    </w:r>
  </w:p>
  <w:p w14:paraId="4CEA47CE" w14:textId="77777777" w:rsidR="00246A89" w:rsidRPr="00B46DD4" w:rsidRDefault="00D83924">
    <w:pPr>
      <w:pStyle w:val="Fuzeile"/>
      <w:jc w:val="right"/>
    </w:pPr>
    <w:r>
      <w:rPr>
        <w:color w:val="A59966"/>
      </w:rPr>
      <w:t xml:space="preserve">  Meldeverfahren im Verhaltenskodex </w:t>
    </w:r>
    <w:r w:rsidRPr="007C2DD8">
      <w:rPr>
        <w:color w:val="A59966"/>
      </w:rPr>
      <w:t>|</w:t>
    </w:r>
    <w:r w:rsidRPr="008115F0">
      <w:rPr>
        <w:color w:val="385D8A"/>
      </w:rPr>
      <w:fldChar w:fldCharType="begin"/>
    </w:r>
    <w:r w:rsidRPr="008115F0">
      <w:rPr>
        <w:color w:val="385D8A"/>
      </w:rPr>
      <w:instrText>PAGE   \* MERGEFORMAT</w:instrText>
    </w:r>
    <w:r w:rsidRPr="008115F0">
      <w:rPr>
        <w:color w:val="385D8A"/>
      </w:rPr>
      <w:fldChar w:fldCharType="separate"/>
    </w:r>
    <w:r w:rsidRPr="008115F0">
      <w:rPr>
        <w:color w:val="385D8A"/>
        <w:lang w:val="de-DE"/>
      </w:rPr>
      <w:t>1</w:t>
    </w:r>
    <w:r w:rsidRPr="008115F0">
      <w:rPr>
        <w:color w:val="385D8A"/>
      </w:rPr>
      <w:fldChar w:fldCharType="end"/>
    </w:r>
  </w:p>
  <w:p w14:paraId="52D18F23" w14:textId="77777777" w:rsidR="00EC4ED7" w:rsidRDefault="004738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F1FB" w14:textId="77777777" w:rsidR="00246A89" w:rsidRDefault="004738CB">
    <w:pPr>
      <w:pStyle w:val="Fuzeile"/>
      <w:jc w:val="right"/>
    </w:pPr>
  </w:p>
  <w:p w14:paraId="3F56E501" w14:textId="77777777" w:rsidR="00246A89" w:rsidRDefault="004738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FFDA" w14:textId="77777777" w:rsidR="004738CB" w:rsidRDefault="004738CB">
      <w:pPr>
        <w:spacing w:after="0" w:line="240" w:lineRule="auto"/>
      </w:pPr>
      <w:r>
        <w:separator/>
      </w:r>
    </w:p>
  </w:footnote>
  <w:footnote w:type="continuationSeparator" w:id="0">
    <w:p w14:paraId="5ADF0412" w14:textId="77777777" w:rsidR="004738CB" w:rsidRDefault="00473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3C"/>
    <w:rsid w:val="000C793C"/>
    <w:rsid w:val="001422B1"/>
    <w:rsid w:val="004738CB"/>
    <w:rsid w:val="00AB266C"/>
    <w:rsid w:val="00D83924"/>
    <w:rsid w:val="00EA2BF9"/>
    <w:rsid w:val="00EC3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7465"/>
  <w15:chartTrackingRefBased/>
  <w15:docId w15:val="{E1156739-2468-4433-A01C-F0640258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93C"/>
    <w:pPr>
      <w:tabs>
        <w:tab w:val="center" w:pos="4536"/>
        <w:tab w:val="right" w:pos="9072"/>
      </w:tabs>
      <w:spacing w:after="0" w:line="240" w:lineRule="auto"/>
    </w:pPr>
    <w:rPr>
      <w:lang w:val="nl-NL"/>
    </w:rPr>
  </w:style>
  <w:style w:type="character" w:customStyle="1" w:styleId="KopfzeileZchn">
    <w:name w:val="Kopfzeile Zchn"/>
    <w:basedOn w:val="Absatz-Standardschriftart"/>
    <w:link w:val="Kopfzeile"/>
    <w:uiPriority w:val="99"/>
    <w:rsid w:val="000C793C"/>
    <w:rPr>
      <w:lang w:val="nl-NL"/>
    </w:rPr>
  </w:style>
  <w:style w:type="paragraph" w:customStyle="1" w:styleId="Default">
    <w:name w:val="Default"/>
    <w:rsid w:val="000C793C"/>
    <w:pPr>
      <w:autoSpaceDE w:val="0"/>
      <w:autoSpaceDN w:val="0"/>
      <w:adjustRightInd w:val="0"/>
      <w:spacing w:after="0" w:line="240" w:lineRule="auto"/>
    </w:pPr>
    <w:rPr>
      <w:rFonts w:ascii="Calibri" w:hAnsi="Calibri" w:cs="Calibri"/>
      <w:color w:val="000000"/>
      <w:sz w:val="24"/>
      <w:szCs w:val="24"/>
    </w:rPr>
  </w:style>
  <w:style w:type="paragraph" w:styleId="Fuzeile">
    <w:name w:val="footer"/>
    <w:basedOn w:val="Standard"/>
    <w:link w:val="FuzeileZchn"/>
    <w:uiPriority w:val="99"/>
    <w:unhideWhenUsed/>
    <w:rsid w:val="00EC3394"/>
    <w:pPr>
      <w:tabs>
        <w:tab w:val="center" w:pos="4536"/>
        <w:tab w:val="right" w:pos="9072"/>
      </w:tabs>
      <w:spacing w:after="0" w:line="240" w:lineRule="auto"/>
    </w:pPr>
    <w:rPr>
      <w:rFonts w:ascii="Avenir LT Std 55 Roman" w:hAnsi="Avenir LT Std 55 Roman"/>
      <w:color w:val="132C45"/>
      <w:lang w:val="nl-NL"/>
    </w:rPr>
  </w:style>
  <w:style w:type="character" w:customStyle="1" w:styleId="FuzeileZchn">
    <w:name w:val="Fußzeile Zchn"/>
    <w:basedOn w:val="Absatz-Standardschriftart"/>
    <w:link w:val="Fuzeile"/>
    <w:uiPriority w:val="99"/>
    <w:rsid w:val="00EC3394"/>
    <w:rPr>
      <w:rFonts w:ascii="Avenir LT Std 55 Roman" w:hAnsi="Avenir LT Std 55 Roman"/>
      <w:color w:val="132C45"/>
      <w:lang w:val="nl-NL"/>
    </w:rPr>
  </w:style>
  <w:style w:type="table" w:styleId="Tabellenraster">
    <w:name w:val="Table Grid"/>
    <w:basedOn w:val="NormaleTabelle"/>
    <w:uiPriority w:val="59"/>
    <w:rsid w:val="00EC3394"/>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Juliane Witte</dc:creator>
  <cp:keywords/>
  <dc:description/>
  <cp:lastModifiedBy>Juliane Witte</cp:lastModifiedBy>
  <cp:revision>1</cp:revision>
  <dcterms:created xsi:type="dcterms:W3CDTF">2021-09-21T08:55:00Z</dcterms:created>
  <dcterms:modified xsi:type="dcterms:W3CDTF">2021-09-21T09:26:00Z</dcterms:modified>
</cp:coreProperties>
</file>